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A34" w:rsidRDefault="00B50A34" w:rsidP="00BC0A17">
      <w:pPr>
        <w:rPr>
          <w:rFonts w:asciiTheme="minorHAnsi" w:hAnsiTheme="minorHAnsi"/>
          <w:sz w:val="22"/>
          <w:szCs w:val="22"/>
        </w:rPr>
      </w:pPr>
      <w:bookmarkStart w:id="0" w:name="_GoBack"/>
      <w:r>
        <w:rPr>
          <w:rFonts w:asciiTheme="minorHAnsi" w:hAnsiTheme="minorHAnsi"/>
          <w:sz w:val="22"/>
          <w:szCs w:val="22"/>
        </w:rPr>
        <w:t xml:space="preserve">GARANT -Schiebetürbeschlag </w:t>
      </w:r>
      <w:r w:rsidR="007F5517">
        <w:rPr>
          <w:rFonts w:asciiTheme="minorHAnsi" w:hAnsiTheme="minorHAnsi"/>
          <w:sz w:val="22"/>
          <w:szCs w:val="22"/>
        </w:rPr>
        <w:t>LINE</w:t>
      </w:r>
      <w:r w:rsidR="0011101B">
        <w:rPr>
          <w:rFonts w:asciiTheme="minorHAnsi" w:hAnsiTheme="minorHAnsi"/>
          <w:sz w:val="22"/>
          <w:szCs w:val="22"/>
        </w:rPr>
        <w:t>-</w:t>
      </w:r>
      <w:r>
        <w:rPr>
          <w:rFonts w:asciiTheme="minorHAnsi" w:hAnsiTheme="minorHAnsi"/>
          <w:sz w:val="22"/>
          <w:szCs w:val="22"/>
        </w:rPr>
        <w:t>Inlay</w:t>
      </w:r>
    </w:p>
    <w:p w:rsidR="00B50A34" w:rsidRDefault="00B50A34" w:rsidP="00BC0A17">
      <w:pPr>
        <w:rPr>
          <w:rFonts w:asciiTheme="minorHAnsi" w:hAnsiTheme="minorHAnsi"/>
          <w:sz w:val="22"/>
          <w:szCs w:val="22"/>
        </w:rPr>
      </w:pPr>
    </w:p>
    <w:p w:rsidR="00637F4B" w:rsidRPr="00B50A34" w:rsidRDefault="00B50A34" w:rsidP="00BC0A17">
      <w:pPr>
        <w:rPr>
          <w:rFonts w:asciiTheme="minorHAnsi" w:hAnsiTheme="minorHAnsi"/>
          <w:b/>
          <w:sz w:val="24"/>
          <w:szCs w:val="24"/>
        </w:rPr>
      </w:pPr>
      <w:r w:rsidRPr="00B50A34">
        <w:rPr>
          <w:rFonts w:asciiTheme="minorHAnsi" w:hAnsiTheme="minorHAnsi"/>
          <w:b/>
          <w:sz w:val="24"/>
          <w:szCs w:val="24"/>
        </w:rPr>
        <w:t>Komfortabel Schieben im aktuellen Design</w:t>
      </w:r>
    </w:p>
    <w:p w:rsidR="00B50A34" w:rsidRDefault="00B50A34">
      <w:pPr>
        <w:rPr>
          <w:rFonts w:asciiTheme="minorHAnsi" w:hAnsiTheme="minorHAnsi"/>
          <w:b/>
          <w:sz w:val="24"/>
          <w:szCs w:val="24"/>
        </w:rPr>
      </w:pPr>
    </w:p>
    <w:p w:rsidR="00922C72" w:rsidRDefault="00922C72" w:rsidP="00C11B68">
      <w:pPr>
        <w:spacing w:line="276" w:lineRule="auto"/>
        <w:jc w:val="both"/>
        <w:rPr>
          <w:rFonts w:asciiTheme="minorHAnsi" w:eastAsia="Calibri" w:hAnsiTheme="minorHAnsi"/>
          <w:sz w:val="22"/>
          <w:szCs w:val="22"/>
        </w:rPr>
      </w:pPr>
      <w:r w:rsidRPr="00CF41D8">
        <w:rPr>
          <w:rFonts w:asciiTheme="minorHAnsi" w:eastAsia="Calibri" w:hAnsiTheme="minorHAnsi"/>
          <w:sz w:val="22"/>
          <w:szCs w:val="22"/>
        </w:rPr>
        <w:t xml:space="preserve">Platzsparende Türlösung in kleinen Zimmern, gleichzeitig zentraler Blickfang in großen Räumen, barrierefrei und einfach in der Handhabung – Schiebetüren sind wahre Multitalente. Mit schlanker Bauweise </w:t>
      </w:r>
      <w:r>
        <w:rPr>
          <w:rFonts w:asciiTheme="minorHAnsi" w:eastAsia="Calibri" w:hAnsiTheme="minorHAnsi"/>
          <w:sz w:val="22"/>
          <w:szCs w:val="22"/>
        </w:rPr>
        <w:t>sowie</w:t>
      </w:r>
      <w:r w:rsidRPr="00CF41D8">
        <w:rPr>
          <w:rFonts w:asciiTheme="minorHAnsi" w:eastAsia="Calibri" w:hAnsiTheme="minorHAnsi"/>
          <w:sz w:val="22"/>
          <w:szCs w:val="22"/>
        </w:rPr>
        <w:t xml:space="preserve"> klaren Formen liegen sie voll im Trend  und treffen vor allem als Ganzglasvariante den Geschmack der Zeit.</w:t>
      </w:r>
    </w:p>
    <w:p w:rsidR="00922C72" w:rsidRDefault="00922C72" w:rsidP="00C11B68">
      <w:pPr>
        <w:spacing w:line="276" w:lineRule="auto"/>
        <w:jc w:val="both"/>
        <w:rPr>
          <w:rFonts w:asciiTheme="minorHAnsi" w:eastAsia="Calibri" w:hAnsiTheme="minorHAnsi"/>
          <w:sz w:val="22"/>
          <w:szCs w:val="22"/>
        </w:rPr>
      </w:pPr>
      <w:r w:rsidRPr="00CF41D8">
        <w:rPr>
          <w:rFonts w:asciiTheme="minorHAnsi" w:eastAsia="Calibri" w:hAnsiTheme="minorHAnsi"/>
          <w:sz w:val="22"/>
          <w:szCs w:val="22"/>
        </w:rPr>
        <w:t>Die GARANT Türen und Zargen GmbH aus Ichtershausen bietet ein breites Spektrum von Schiebetüren an. Dafür sind Tür</w:t>
      </w:r>
      <w:r w:rsidR="007F5517">
        <w:rPr>
          <w:rFonts w:asciiTheme="minorHAnsi" w:eastAsia="Calibri" w:hAnsiTheme="minorHAnsi"/>
          <w:sz w:val="22"/>
          <w:szCs w:val="22"/>
        </w:rPr>
        <w:t>en</w:t>
      </w:r>
      <w:r w:rsidRPr="00CF41D8">
        <w:rPr>
          <w:rFonts w:asciiTheme="minorHAnsi" w:eastAsia="Calibri" w:hAnsiTheme="minorHAnsi"/>
          <w:sz w:val="22"/>
          <w:szCs w:val="22"/>
        </w:rPr>
        <w:t xml:space="preserve"> aus dem gesamten Sortiment wählbar: geschlossen, mit Lichtausschnitt und interessanten Gläsern, oder als Ganzglastür. Die besondere Note erhalten Schiebetüren durch hochwertige Beschläge aus Edelstahl. So schaff</w:t>
      </w:r>
      <w:r w:rsidR="00DB05FC">
        <w:rPr>
          <w:rFonts w:asciiTheme="minorHAnsi" w:eastAsia="Calibri" w:hAnsiTheme="minorHAnsi"/>
          <w:sz w:val="22"/>
          <w:szCs w:val="22"/>
        </w:rPr>
        <w:t>en</w:t>
      </w:r>
      <w:r w:rsidRPr="00CF41D8">
        <w:rPr>
          <w:rFonts w:asciiTheme="minorHAnsi" w:eastAsia="Calibri" w:hAnsiTheme="minorHAnsi"/>
          <w:sz w:val="22"/>
          <w:szCs w:val="22"/>
        </w:rPr>
        <w:t xml:space="preserve"> diese stilvolle</w:t>
      </w:r>
      <w:r w:rsidR="00DB05FC">
        <w:rPr>
          <w:rFonts w:asciiTheme="minorHAnsi" w:eastAsia="Calibri" w:hAnsiTheme="minorHAnsi"/>
          <w:sz w:val="22"/>
          <w:szCs w:val="22"/>
        </w:rPr>
        <w:t>n</w:t>
      </w:r>
      <w:r w:rsidRPr="00CF41D8">
        <w:rPr>
          <w:rFonts w:asciiTheme="minorHAnsi" w:eastAsia="Calibri" w:hAnsiTheme="minorHAnsi"/>
          <w:sz w:val="22"/>
          <w:szCs w:val="22"/>
        </w:rPr>
        <w:t xml:space="preserve"> Klassiker eine stimmige Kombination aus Design und Funktion. </w:t>
      </w:r>
      <w:r>
        <w:rPr>
          <w:rFonts w:asciiTheme="minorHAnsi" w:eastAsia="Calibri" w:hAnsiTheme="minorHAnsi"/>
          <w:sz w:val="22"/>
          <w:szCs w:val="22"/>
        </w:rPr>
        <w:t xml:space="preserve">Ganz neu im Sortiment hebt sich der Schiebetürbeschlag </w:t>
      </w:r>
      <w:r w:rsidR="0011101B">
        <w:rPr>
          <w:rFonts w:asciiTheme="minorHAnsi" w:eastAsia="Calibri" w:hAnsiTheme="minorHAnsi"/>
          <w:sz w:val="22"/>
          <w:szCs w:val="22"/>
        </w:rPr>
        <w:t>LINE</w:t>
      </w:r>
      <w:r>
        <w:rPr>
          <w:rFonts w:asciiTheme="minorHAnsi" w:eastAsia="Calibri" w:hAnsiTheme="minorHAnsi"/>
          <w:sz w:val="22"/>
          <w:szCs w:val="22"/>
        </w:rPr>
        <w:t xml:space="preserve">-Inlay hervor. Eine gelungene Kombination aus </w:t>
      </w:r>
      <w:r w:rsidR="00F03E1B">
        <w:rPr>
          <w:rFonts w:asciiTheme="minorHAnsi" w:eastAsia="Calibri" w:hAnsiTheme="minorHAnsi"/>
          <w:sz w:val="22"/>
          <w:szCs w:val="22"/>
        </w:rPr>
        <w:t xml:space="preserve">Edelstahloptik </w:t>
      </w:r>
      <w:r>
        <w:rPr>
          <w:rFonts w:asciiTheme="minorHAnsi" w:eastAsia="Calibri" w:hAnsiTheme="minorHAnsi"/>
          <w:sz w:val="22"/>
          <w:szCs w:val="22"/>
        </w:rPr>
        <w:t xml:space="preserve">mit </w:t>
      </w:r>
      <w:r w:rsidR="00C22965">
        <w:rPr>
          <w:rFonts w:asciiTheme="minorHAnsi" w:eastAsia="Calibri" w:hAnsiTheme="minorHAnsi"/>
          <w:sz w:val="22"/>
          <w:szCs w:val="22"/>
        </w:rPr>
        <w:t xml:space="preserve">einem Inlay </w:t>
      </w:r>
      <w:r>
        <w:rPr>
          <w:rFonts w:asciiTheme="minorHAnsi" w:eastAsia="Calibri" w:hAnsiTheme="minorHAnsi"/>
          <w:sz w:val="22"/>
          <w:szCs w:val="22"/>
        </w:rPr>
        <w:t xml:space="preserve">der Oberfläche der jeweiligen Türen. </w:t>
      </w:r>
      <w:r w:rsidR="00C22965">
        <w:rPr>
          <w:rFonts w:asciiTheme="minorHAnsi" w:eastAsia="Calibri" w:hAnsiTheme="minorHAnsi"/>
          <w:sz w:val="22"/>
          <w:szCs w:val="22"/>
        </w:rPr>
        <w:t>Er ist die perfekte Ergänzung zu de</w:t>
      </w:r>
      <w:r w:rsidR="00E75B31">
        <w:rPr>
          <w:rFonts w:asciiTheme="minorHAnsi" w:eastAsia="Calibri" w:hAnsiTheme="minorHAnsi"/>
          <w:sz w:val="22"/>
          <w:szCs w:val="22"/>
        </w:rPr>
        <w:t>m</w:t>
      </w:r>
      <w:r w:rsidR="00C22965">
        <w:rPr>
          <w:rFonts w:asciiTheme="minorHAnsi" w:eastAsia="Calibri" w:hAnsiTheme="minorHAnsi"/>
          <w:sz w:val="22"/>
          <w:szCs w:val="22"/>
        </w:rPr>
        <w:t xml:space="preserve"> GARANT-Beschlag</w:t>
      </w:r>
      <w:r w:rsidR="00604DF3">
        <w:rPr>
          <w:rFonts w:asciiTheme="minorHAnsi" w:eastAsia="Calibri" w:hAnsiTheme="minorHAnsi"/>
          <w:sz w:val="22"/>
          <w:szCs w:val="22"/>
        </w:rPr>
        <w:t xml:space="preserve"> </w:t>
      </w:r>
      <w:r w:rsidR="00C22965">
        <w:rPr>
          <w:rFonts w:asciiTheme="minorHAnsi" w:eastAsia="Calibri" w:hAnsiTheme="minorHAnsi"/>
          <w:sz w:val="22"/>
          <w:szCs w:val="22"/>
        </w:rPr>
        <w:t>QUADRAL</w:t>
      </w:r>
      <w:r w:rsidR="0011101B">
        <w:rPr>
          <w:rFonts w:asciiTheme="minorHAnsi" w:eastAsia="Calibri" w:hAnsiTheme="minorHAnsi"/>
          <w:sz w:val="22"/>
          <w:szCs w:val="22"/>
        </w:rPr>
        <w:t>-</w:t>
      </w:r>
      <w:r w:rsidR="00C22965">
        <w:rPr>
          <w:rFonts w:asciiTheme="minorHAnsi" w:eastAsia="Calibri" w:hAnsiTheme="minorHAnsi"/>
          <w:sz w:val="22"/>
          <w:szCs w:val="22"/>
        </w:rPr>
        <w:t xml:space="preserve">Inlay. </w:t>
      </w:r>
    </w:p>
    <w:p w:rsidR="00C22965" w:rsidRDefault="00C22965" w:rsidP="00C11B68">
      <w:pPr>
        <w:spacing w:line="276" w:lineRule="auto"/>
        <w:jc w:val="both"/>
        <w:rPr>
          <w:rFonts w:asciiTheme="minorHAnsi" w:eastAsia="Calibri" w:hAnsiTheme="minorHAnsi"/>
          <w:sz w:val="22"/>
          <w:szCs w:val="22"/>
        </w:rPr>
      </w:pPr>
    </w:p>
    <w:p w:rsidR="008221D4" w:rsidRDefault="009B0AD7" w:rsidP="00C11B68">
      <w:pPr>
        <w:spacing w:line="276" w:lineRule="auto"/>
        <w:jc w:val="both"/>
        <w:rPr>
          <w:rFonts w:asciiTheme="minorHAnsi" w:eastAsia="Calibri" w:hAnsiTheme="minorHAnsi"/>
          <w:sz w:val="22"/>
          <w:szCs w:val="22"/>
        </w:rPr>
      </w:pPr>
      <w:r>
        <w:rPr>
          <w:rFonts w:asciiTheme="minorHAnsi" w:eastAsia="Calibri" w:hAnsiTheme="minorHAnsi"/>
          <w:sz w:val="22"/>
          <w:szCs w:val="22"/>
        </w:rPr>
        <w:t>Die Öffnung zwischen zwei Räumen muss nicht immer d</w:t>
      </w:r>
      <w:r w:rsidR="00604DF3">
        <w:rPr>
          <w:rFonts w:asciiTheme="minorHAnsi" w:eastAsia="Calibri" w:hAnsiTheme="minorHAnsi"/>
          <w:sz w:val="22"/>
          <w:szCs w:val="22"/>
        </w:rPr>
        <w:t>er</w:t>
      </w:r>
      <w:r>
        <w:rPr>
          <w:rFonts w:asciiTheme="minorHAnsi" w:eastAsia="Calibri" w:hAnsiTheme="minorHAnsi"/>
          <w:sz w:val="22"/>
          <w:szCs w:val="22"/>
        </w:rPr>
        <w:t xml:space="preserve"> Größe einer Tür i</w:t>
      </w:r>
      <w:r w:rsidR="00604DF3">
        <w:rPr>
          <w:rFonts w:asciiTheme="minorHAnsi" w:eastAsia="Calibri" w:hAnsiTheme="minorHAnsi"/>
          <w:sz w:val="22"/>
          <w:szCs w:val="22"/>
        </w:rPr>
        <w:t>m</w:t>
      </w:r>
      <w:r>
        <w:rPr>
          <w:rFonts w:asciiTheme="minorHAnsi" w:eastAsia="Calibri" w:hAnsiTheme="minorHAnsi"/>
          <w:sz w:val="22"/>
          <w:szCs w:val="22"/>
        </w:rPr>
        <w:t xml:space="preserve"> Standardmaßen </w:t>
      </w:r>
      <w:r w:rsidR="00604DF3">
        <w:rPr>
          <w:rFonts w:asciiTheme="minorHAnsi" w:eastAsia="Calibri" w:hAnsiTheme="minorHAnsi"/>
          <w:sz w:val="22"/>
          <w:szCs w:val="22"/>
        </w:rPr>
        <w:t>entsprechen</w:t>
      </w:r>
      <w:r>
        <w:rPr>
          <w:rFonts w:asciiTheme="minorHAnsi" w:eastAsia="Calibri" w:hAnsiTheme="minorHAnsi"/>
          <w:sz w:val="22"/>
          <w:szCs w:val="22"/>
        </w:rPr>
        <w:t>. Mit dem flexible</w:t>
      </w:r>
      <w:r w:rsidR="004609F8">
        <w:rPr>
          <w:rFonts w:asciiTheme="minorHAnsi" w:eastAsia="Calibri" w:hAnsiTheme="minorHAnsi"/>
          <w:sz w:val="22"/>
          <w:szCs w:val="22"/>
        </w:rPr>
        <w:t>n</w:t>
      </w:r>
      <w:r>
        <w:rPr>
          <w:rFonts w:asciiTheme="minorHAnsi" w:eastAsia="Calibri" w:hAnsiTheme="minorHAnsi"/>
          <w:sz w:val="22"/>
          <w:szCs w:val="22"/>
        </w:rPr>
        <w:t xml:space="preserve"> Schiebetürbeschlag </w:t>
      </w:r>
      <w:r w:rsidR="00604DF3">
        <w:rPr>
          <w:rFonts w:asciiTheme="minorHAnsi" w:eastAsia="Calibri" w:hAnsiTheme="minorHAnsi"/>
          <w:sz w:val="22"/>
          <w:szCs w:val="22"/>
        </w:rPr>
        <w:t>LINE</w:t>
      </w:r>
      <w:r w:rsidR="0011101B">
        <w:rPr>
          <w:rFonts w:asciiTheme="minorHAnsi" w:eastAsia="Calibri" w:hAnsiTheme="minorHAnsi"/>
          <w:sz w:val="22"/>
          <w:szCs w:val="22"/>
        </w:rPr>
        <w:t>-</w:t>
      </w:r>
      <w:r>
        <w:rPr>
          <w:rFonts w:asciiTheme="minorHAnsi" w:eastAsia="Calibri" w:hAnsiTheme="minorHAnsi"/>
          <w:sz w:val="22"/>
          <w:szCs w:val="22"/>
        </w:rPr>
        <w:t xml:space="preserve">Inlay, </w:t>
      </w:r>
      <w:r w:rsidR="004609F8">
        <w:rPr>
          <w:rFonts w:asciiTheme="minorHAnsi" w:eastAsia="Calibri" w:hAnsiTheme="minorHAnsi"/>
          <w:sz w:val="22"/>
          <w:szCs w:val="22"/>
        </w:rPr>
        <w:t xml:space="preserve">können </w:t>
      </w:r>
      <w:r>
        <w:rPr>
          <w:rFonts w:asciiTheme="minorHAnsi" w:eastAsia="Calibri" w:hAnsiTheme="minorHAnsi"/>
          <w:sz w:val="22"/>
          <w:szCs w:val="22"/>
        </w:rPr>
        <w:t>Schiebetüren vor der Wand bewegt werden</w:t>
      </w:r>
      <w:r w:rsidR="004609F8">
        <w:rPr>
          <w:rFonts w:asciiTheme="minorHAnsi" w:eastAsia="Calibri" w:hAnsiTheme="minorHAnsi"/>
          <w:sz w:val="22"/>
          <w:szCs w:val="22"/>
        </w:rPr>
        <w:t xml:space="preserve">. Er </w:t>
      </w:r>
      <w:r>
        <w:rPr>
          <w:rFonts w:asciiTheme="minorHAnsi" w:eastAsia="Calibri" w:hAnsiTheme="minorHAnsi"/>
          <w:sz w:val="22"/>
          <w:szCs w:val="22"/>
        </w:rPr>
        <w:t xml:space="preserve">passt sich der </w:t>
      </w:r>
      <w:r w:rsidR="004609F8">
        <w:rPr>
          <w:rFonts w:asciiTheme="minorHAnsi" w:eastAsia="Calibri" w:hAnsiTheme="minorHAnsi"/>
          <w:sz w:val="22"/>
          <w:szCs w:val="22"/>
        </w:rPr>
        <w:t xml:space="preserve">jeweiligen </w:t>
      </w:r>
      <w:r>
        <w:rPr>
          <w:rFonts w:asciiTheme="minorHAnsi" w:eastAsia="Calibri" w:hAnsiTheme="minorHAnsi"/>
          <w:sz w:val="22"/>
          <w:szCs w:val="22"/>
        </w:rPr>
        <w:t xml:space="preserve">Durchgangsbreite an, in </w:t>
      </w:r>
      <w:r w:rsidR="004609F8">
        <w:rPr>
          <w:rFonts w:asciiTheme="minorHAnsi" w:eastAsia="Calibri" w:hAnsiTheme="minorHAnsi"/>
          <w:sz w:val="22"/>
          <w:szCs w:val="22"/>
        </w:rPr>
        <w:t xml:space="preserve">einer </w:t>
      </w:r>
      <w:r>
        <w:rPr>
          <w:rFonts w:asciiTheme="minorHAnsi" w:eastAsia="Calibri" w:hAnsiTheme="minorHAnsi"/>
          <w:sz w:val="22"/>
          <w:szCs w:val="22"/>
        </w:rPr>
        <w:t>modern-geradlinige</w:t>
      </w:r>
      <w:r w:rsidR="00760011">
        <w:rPr>
          <w:rFonts w:asciiTheme="minorHAnsi" w:eastAsia="Calibri" w:hAnsiTheme="minorHAnsi"/>
          <w:sz w:val="22"/>
          <w:szCs w:val="22"/>
        </w:rPr>
        <w:t>n</w:t>
      </w:r>
      <w:r>
        <w:rPr>
          <w:rFonts w:asciiTheme="minorHAnsi" w:eastAsia="Calibri" w:hAnsiTheme="minorHAnsi"/>
          <w:sz w:val="22"/>
          <w:szCs w:val="22"/>
        </w:rPr>
        <w:t xml:space="preserve"> Optik und in bester Qualität. So entstehen visuelle Verbindungen und Freiräume, die individuell gestaltet werden können. Durch die Verwendung eines Inlays, in der Oberfläche der Tür, welches </w:t>
      </w:r>
      <w:r w:rsidR="0011101B">
        <w:rPr>
          <w:rFonts w:asciiTheme="minorHAnsi" w:eastAsia="Calibri" w:hAnsiTheme="minorHAnsi"/>
          <w:sz w:val="22"/>
          <w:szCs w:val="22"/>
        </w:rPr>
        <w:t xml:space="preserve">als </w:t>
      </w:r>
      <w:r w:rsidR="004609F8">
        <w:rPr>
          <w:rFonts w:asciiTheme="minorHAnsi" w:eastAsia="Calibri" w:hAnsiTheme="minorHAnsi"/>
          <w:sz w:val="22"/>
          <w:szCs w:val="22"/>
        </w:rPr>
        <w:t>Blende</w:t>
      </w:r>
      <w:r>
        <w:rPr>
          <w:rFonts w:asciiTheme="minorHAnsi" w:eastAsia="Calibri" w:hAnsiTheme="minorHAnsi"/>
          <w:sz w:val="22"/>
          <w:szCs w:val="22"/>
        </w:rPr>
        <w:t xml:space="preserve"> </w:t>
      </w:r>
      <w:r w:rsidR="00EA6C8F">
        <w:rPr>
          <w:rFonts w:asciiTheme="minorHAnsi" w:eastAsia="Calibri" w:hAnsiTheme="minorHAnsi"/>
          <w:sz w:val="22"/>
          <w:szCs w:val="22"/>
        </w:rPr>
        <w:t xml:space="preserve">flächenbündig </w:t>
      </w:r>
      <w:r w:rsidR="00AC00D0">
        <w:rPr>
          <w:rFonts w:asciiTheme="minorHAnsi" w:eastAsia="Calibri" w:hAnsiTheme="minorHAnsi"/>
          <w:sz w:val="22"/>
          <w:szCs w:val="22"/>
        </w:rPr>
        <w:t xml:space="preserve">an der Frontseite des </w:t>
      </w:r>
      <w:r w:rsidR="00EA6C8F">
        <w:rPr>
          <w:rFonts w:asciiTheme="minorHAnsi" w:eastAsia="Calibri" w:hAnsiTheme="minorHAnsi"/>
          <w:sz w:val="22"/>
          <w:szCs w:val="22"/>
        </w:rPr>
        <w:t>Beschlag</w:t>
      </w:r>
      <w:r w:rsidR="00AC00D0">
        <w:rPr>
          <w:rFonts w:asciiTheme="minorHAnsi" w:eastAsia="Calibri" w:hAnsiTheme="minorHAnsi"/>
          <w:sz w:val="22"/>
          <w:szCs w:val="22"/>
        </w:rPr>
        <w:t>s</w:t>
      </w:r>
      <w:r w:rsidR="00EA6C8F">
        <w:rPr>
          <w:rFonts w:asciiTheme="minorHAnsi" w:eastAsia="Calibri" w:hAnsiTheme="minorHAnsi"/>
          <w:sz w:val="22"/>
          <w:szCs w:val="22"/>
        </w:rPr>
        <w:t xml:space="preserve"> befe</w:t>
      </w:r>
      <w:r w:rsidR="0011101B">
        <w:rPr>
          <w:rFonts w:asciiTheme="minorHAnsi" w:eastAsia="Calibri" w:hAnsiTheme="minorHAnsi"/>
          <w:sz w:val="22"/>
          <w:szCs w:val="22"/>
        </w:rPr>
        <w:t>stigt</w:t>
      </w:r>
      <w:r>
        <w:rPr>
          <w:rFonts w:asciiTheme="minorHAnsi" w:eastAsia="Calibri" w:hAnsiTheme="minorHAnsi"/>
          <w:sz w:val="22"/>
          <w:szCs w:val="22"/>
        </w:rPr>
        <w:t xml:space="preserve"> wird, werden eindrucksvolle </w:t>
      </w:r>
      <w:r w:rsidR="004609F8">
        <w:rPr>
          <w:rFonts w:asciiTheme="minorHAnsi" w:eastAsia="Calibri" w:hAnsiTheme="minorHAnsi"/>
          <w:sz w:val="22"/>
          <w:szCs w:val="22"/>
        </w:rPr>
        <w:t xml:space="preserve">Akzente </w:t>
      </w:r>
      <w:r>
        <w:rPr>
          <w:rFonts w:asciiTheme="minorHAnsi" w:eastAsia="Calibri" w:hAnsiTheme="minorHAnsi"/>
          <w:sz w:val="22"/>
          <w:szCs w:val="22"/>
        </w:rPr>
        <w:t xml:space="preserve">bei der Wohnraumgestaltung gesetzt. </w:t>
      </w:r>
      <w:r w:rsidR="004609F8">
        <w:rPr>
          <w:rFonts w:asciiTheme="minorHAnsi" w:eastAsia="Calibri" w:hAnsiTheme="minorHAnsi"/>
          <w:sz w:val="22"/>
          <w:szCs w:val="22"/>
        </w:rPr>
        <w:t>Zudem ist dieser Beschlag äußerst montagefreundlich, trägt nicht auf und ist für Türen bis zu 120 kg</w:t>
      </w:r>
      <w:r w:rsidR="0011101B">
        <w:rPr>
          <w:rFonts w:asciiTheme="minorHAnsi" w:eastAsia="Calibri" w:hAnsiTheme="minorHAnsi"/>
          <w:sz w:val="22"/>
          <w:szCs w:val="22"/>
        </w:rPr>
        <w:t xml:space="preserve"> </w:t>
      </w:r>
      <w:r w:rsidR="004609F8">
        <w:rPr>
          <w:rFonts w:asciiTheme="minorHAnsi" w:eastAsia="Calibri" w:hAnsiTheme="minorHAnsi"/>
          <w:sz w:val="22"/>
          <w:szCs w:val="22"/>
        </w:rPr>
        <w:t>geeignet.</w:t>
      </w:r>
      <w:r w:rsidR="00A55538">
        <w:rPr>
          <w:rFonts w:asciiTheme="minorHAnsi" w:eastAsia="Calibri" w:hAnsiTheme="minorHAnsi"/>
          <w:sz w:val="22"/>
          <w:szCs w:val="22"/>
        </w:rPr>
        <w:t xml:space="preserve"> </w:t>
      </w:r>
      <w:r w:rsidR="0011101B">
        <w:rPr>
          <w:rFonts w:asciiTheme="minorHAnsi" w:eastAsia="Calibri" w:hAnsiTheme="minorHAnsi"/>
          <w:sz w:val="22"/>
          <w:szCs w:val="22"/>
        </w:rPr>
        <w:t xml:space="preserve">Auch raumhohe Türen können damit </w:t>
      </w:r>
      <w:r w:rsidR="0095293D">
        <w:rPr>
          <w:rFonts w:asciiTheme="minorHAnsi" w:eastAsia="Calibri" w:hAnsiTheme="minorHAnsi"/>
          <w:sz w:val="22"/>
          <w:szCs w:val="22"/>
        </w:rPr>
        <w:t xml:space="preserve">leicht und </w:t>
      </w:r>
      <w:r w:rsidR="0011101B">
        <w:rPr>
          <w:rFonts w:asciiTheme="minorHAnsi" w:eastAsia="Calibri" w:hAnsiTheme="minorHAnsi"/>
          <w:sz w:val="22"/>
          <w:szCs w:val="22"/>
        </w:rPr>
        <w:t xml:space="preserve">sicher geschoben werden. </w:t>
      </w:r>
      <w:r w:rsidR="00A55538">
        <w:rPr>
          <w:rFonts w:asciiTheme="minorHAnsi" w:eastAsia="Calibri" w:hAnsiTheme="minorHAnsi"/>
          <w:sz w:val="22"/>
          <w:szCs w:val="22"/>
        </w:rPr>
        <w:t xml:space="preserve">Vielfältige Ausstattungsoptionen, wie </w:t>
      </w:r>
      <w:r w:rsidR="005837F2">
        <w:rPr>
          <w:rFonts w:asciiTheme="minorHAnsi" w:eastAsia="Calibri" w:hAnsiTheme="minorHAnsi"/>
          <w:sz w:val="22"/>
          <w:szCs w:val="22"/>
        </w:rPr>
        <w:t>beispielsweise</w:t>
      </w:r>
      <w:r w:rsidR="00A55538">
        <w:rPr>
          <w:rFonts w:asciiTheme="minorHAnsi" w:eastAsia="Calibri" w:hAnsiTheme="minorHAnsi"/>
          <w:sz w:val="22"/>
          <w:szCs w:val="22"/>
        </w:rPr>
        <w:t xml:space="preserve"> der Soft-Stopp</w:t>
      </w:r>
      <w:r w:rsidR="005837F2">
        <w:rPr>
          <w:rFonts w:asciiTheme="minorHAnsi" w:eastAsia="Calibri" w:hAnsiTheme="minorHAnsi"/>
          <w:sz w:val="22"/>
          <w:szCs w:val="22"/>
        </w:rPr>
        <w:t>,</w:t>
      </w:r>
      <w:r w:rsidR="00A55538">
        <w:rPr>
          <w:rFonts w:asciiTheme="minorHAnsi" w:eastAsia="Calibri" w:hAnsiTheme="minorHAnsi"/>
          <w:sz w:val="22"/>
          <w:szCs w:val="22"/>
        </w:rPr>
        <w:t xml:space="preserve"> </w:t>
      </w:r>
      <w:r w:rsidR="00446C20">
        <w:rPr>
          <w:rFonts w:asciiTheme="minorHAnsi" w:eastAsia="Calibri" w:hAnsiTheme="minorHAnsi"/>
          <w:sz w:val="22"/>
          <w:szCs w:val="22"/>
        </w:rPr>
        <w:t xml:space="preserve">sind </w:t>
      </w:r>
      <w:r w:rsidR="00A55538">
        <w:rPr>
          <w:rFonts w:asciiTheme="minorHAnsi" w:eastAsia="Calibri" w:hAnsiTheme="minorHAnsi"/>
          <w:sz w:val="22"/>
          <w:szCs w:val="22"/>
        </w:rPr>
        <w:t xml:space="preserve">zusätzlich </w:t>
      </w:r>
      <w:r w:rsidR="00446C20">
        <w:rPr>
          <w:rFonts w:asciiTheme="minorHAnsi" w:eastAsia="Calibri" w:hAnsiTheme="minorHAnsi"/>
          <w:sz w:val="22"/>
          <w:szCs w:val="22"/>
        </w:rPr>
        <w:t xml:space="preserve">erhältlich. </w:t>
      </w:r>
      <w:r w:rsidR="00A55538">
        <w:rPr>
          <w:rFonts w:asciiTheme="minorHAnsi" w:eastAsia="Calibri" w:hAnsiTheme="minorHAnsi"/>
          <w:sz w:val="22"/>
          <w:szCs w:val="22"/>
        </w:rPr>
        <w:t xml:space="preserve"> </w:t>
      </w:r>
      <w:r w:rsidR="00633EBB">
        <w:rPr>
          <w:rFonts w:asciiTheme="minorHAnsi" w:eastAsia="Calibri" w:hAnsiTheme="minorHAnsi"/>
          <w:sz w:val="22"/>
          <w:szCs w:val="22"/>
        </w:rPr>
        <w:t xml:space="preserve">Dieser garantiert, dass die Tür sanft </w:t>
      </w:r>
      <w:r w:rsidR="00AC00D0">
        <w:rPr>
          <w:rFonts w:asciiTheme="minorHAnsi" w:eastAsia="Calibri" w:hAnsiTheme="minorHAnsi"/>
          <w:sz w:val="22"/>
          <w:szCs w:val="22"/>
        </w:rPr>
        <w:t xml:space="preserve">und lautlos </w:t>
      </w:r>
      <w:r w:rsidR="00633EBB">
        <w:rPr>
          <w:rFonts w:asciiTheme="minorHAnsi" w:eastAsia="Calibri" w:hAnsiTheme="minorHAnsi"/>
          <w:sz w:val="22"/>
          <w:szCs w:val="22"/>
        </w:rPr>
        <w:t xml:space="preserve">an den Anschlag gleitet. </w:t>
      </w:r>
    </w:p>
    <w:p w:rsidR="008221D4" w:rsidRDefault="008221D4" w:rsidP="00C11B68">
      <w:pPr>
        <w:spacing w:line="276" w:lineRule="auto"/>
        <w:jc w:val="both"/>
        <w:rPr>
          <w:rFonts w:asciiTheme="minorHAnsi" w:eastAsia="Calibri" w:hAnsiTheme="minorHAnsi"/>
          <w:sz w:val="22"/>
          <w:szCs w:val="22"/>
        </w:rPr>
      </w:pPr>
    </w:p>
    <w:p w:rsidR="008221D4" w:rsidRDefault="00922C72" w:rsidP="00C11B68">
      <w:pPr>
        <w:spacing w:line="276" w:lineRule="auto"/>
        <w:jc w:val="both"/>
        <w:rPr>
          <w:rFonts w:asciiTheme="minorHAnsi" w:eastAsia="Calibri" w:hAnsiTheme="minorHAnsi"/>
          <w:sz w:val="22"/>
          <w:szCs w:val="22"/>
        </w:rPr>
      </w:pPr>
      <w:r w:rsidRPr="00CF41D8">
        <w:rPr>
          <w:rFonts w:asciiTheme="minorHAnsi" w:eastAsia="Calibri" w:hAnsiTheme="minorHAnsi"/>
          <w:sz w:val="22"/>
          <w:szCs w:val="22"/>
        </w:rPr>
        <w:t>Schiebetür</w:t>
      </w:r>
      <w:r>
        <w:rPr>
          <w:rFonts w:asciiTheme="minorHAnsi" w:eastAsia="Calibri" w:hAnsiTheme="minorHAnsi"/>
          <w:sz w:val="22"/>
          <w:szCs w:val="22"/>
        </w:rPr>
        <w:t xml:space="preserve">en sind </w:t>
      </w:r>
      <w:r w:rsidRPr="00CF41D8">
        <w:rPr>
          <w:rFonts w:asciiTheme="minorHAnsi" w:eastAsia="Calibri" w:hAnsiTheme="minorHAnsi"/>
          <w:sz w:val="22"/>
          <w:szCs w:val="22"/>
        </w:rPr>
        <w:t>prägende Element</w:t>
      </w:r>
      <w:r>
        <w:rPr>
          <w:rFonts w:asciiTheme="minorHAnsi" w:eastAsia="Calibri" w:hAnsiTheme="minorHAnsi"/>
          <w:sz w:val="22"/>
          <w:szCs w:val="22"/>
        </w:rPr>
        <w:t xml:space="preserve">e </w:t>
      </w:r>
      <w:r w:rsidRPr="00CF41D8">
        <w:rPr>
          <w:rFonts w:asciiTheme="minorHAnsi" w:eastAsia="Calibri" w:hAnsiTheme="minorHAnsi"/>
          <w:sz w:val="22"/>
          <w:szCs w:val="22"/>
        </w:rPr>
        <w:t xml:space="preserve">der Raumgestaltung. </w:t>
      </w:r>
      <w:r w:rsidR="008221D4">
        <w:rPr>
          <w:rFonts w:asciiTheme="minorHAnsi" w:eastAsia="Calibri" w:hAnsiTheme="minorHAnsi"/>
          <w:sz w:val="22"/>
          <w:szCs w:val="22"/>
        </w:rPr>
        <w:t>Ob Holz- oder Ganzglastür, i</w:t>
      </w:r>
      <w:r w:rsidRPr="00CF41D8">
        <w:rPr>
          <w:rFonts w:asciiTheme="minorHAnsi" w:eastAsia="Calibri" w:hAnsiTheme="minorHAnsi"/>
          <w:sz w:val="22"/>
          <w:szCs w:val="22"/>
        </w:rPr>
        <w:t xml:space="preserve">n ein- oder zweiflügeliger Ausführung trennen sie Räume oder verbinden diese zu einer Einheit. </w:t>
      </w:r>
      <w:r w:rsidR="008221D4">
        <w:rPr>
          <w:rFonts w:asciiTheme="minorHAnsi" w:eastAsia="Calibri" w:hAnsiTheme="minorHAnsi"/>
          <w:sz w:val="22"/>
          <w:szCs w:val="22"/>
        </w:rPr>
        <w:t xml:space="preserve">Der </w:t>
      </w:r>
      <w:r w:rsidR="00604DF3">
        <w:rPr>
          <w:rFonts w:asciiTheme="minorHAnsi" w:eastAsia="Calibri" w:hAnsiTheme="minorHAnsi"/>
          <w:sz w:val="22"/>
          <w:szCs w:val="22"/>
        </w:rPr>
        <w:t>LINE</w:t>
      </w:r>
      <w:r w:rsidR="00EA6C8F">
        <w:rPr>
          <w:rFonts w:asciiTheme="minorHAnsi" w:eastAsia="Calibri" w:hAnsiTheme="minorHAnsi"/>
          <w:sz w:val="22"/>
          <w:szCs w:val="22"/>
        </w:rPr>
        <w:t>-</w:t>
      </w:r>
      <w:r w:rsidR="008221D4">
        <w:rPr>
          <w:rFonts w:asciiTheme="minorHAnsi" w:eastAsia="Calibri" w:hAnsiTheme="minorHAnsi"/>
          <w:sz w:val="22"/>
          <w:szCs w:val="22"/>
        </w:rPr>
        <w:t xml:space="preserve">Inlay setzt </w:t>
      </w:r>
      <w:r w:rsidR="00E75B31">
        <w:rPr>
          <w:rFonts w:asciiTheme="minorHAnsi" w:eastAsia="Calibri" w:hAnsiTheme="minorHAnsi"/>
          <w:sz w:val="22"/>
          <w:szCs w:val="22"/>
        </w:rPr>
        <w:t xml:space="preserve">dabei </w:t>
      </w:r>
      <w:r w:rsidR="008221D4">
        <w:rPr>
          <w:rFonts w:asciiTheme="minorHAnsi" w:eastAsia="Calibri" w:hAnsiTheme="minorHAnsi"/>
          <w:sz w:val="22"/>
          <w:szCs w:val="22"/>
        </w:rPr>
        <w:t>jede GAR</w:t>
      </w:r>
      <w:r w:rsidR="00F03E1B">
        <w:rPr>
          <w:rFonts w:asciiTheme="minorHAnsi" w:eastAsia="Calibri" w:hAnsiTheme="minorHAnsi"/>
          <w:sz w:val="22"/>
          <w:szCs w:val="22"/>
        </w:rPr>
        <w:t>A</w:t>
      </w:r>
      <w:r w:rsidR="008221D4">
        <w:rPr>
          <w:rFonts w:asciiTheme="minorHAnsi" w:eastAsia="Calibri" w:hAnsiTheme="minorHAnsi"/>
          <w:sz w:val="22"/>
          <w:szCs w:val="22"/>
        </w:rPr>
        <w:t>NT-Tür gekonnt in Szene.</w:t>
      </w:r>
      <w:bookmarkEnd w:id="0"/>
      <w:r w:rsidR="008221D4">
        <w:rPr>
          <w:rFonts w:asciiTheme="minorHAnsi" w:eastAsia="Calibri" w:hAnsiTheme="minorHAnsi"/>
          <w:sz w:val="22"/>
          <w:szCs w:val="22"/>
        </w:rPr>
        <w:t xml:space="preserve"> </w:t>
      </w:r>
    </w:p>
    <w:p w:rsidR="00E75B31" w:rsidRDefault="00E75B31" w:rsidP="00AC657C">
      <w:pPr>
        <w:spacing w:line="360" w:lineRule="auto"/>
        <w:jc w:val="both"/>
        <w:rPr>
          <w:rFonts w:asciiTheme="minorHAnsi" w:eastAsia="Calibri" w:hAnsiTheme="minorHAnsi"/>
          <w:sz w:val="22"/>
          <w:szCs w:val="22"/>
        </w:rPr>
      </w:pPr>
    </w:p>
    <w:p w:rsidR="008221D4" w:rsidRDefault="00E75B31" w:rsidP="00922C72">
      <w:pPr>
        <w:jc w:val="both"/>
        <w:rPr>
          <w:rFonts w:asciiTheme="minorHAnsi" w:eastAsia="Calibri" w:hAnsiTheme="minorHAnsi"/>
          <w:sz w:val="22"/>
          <w:szCs w:val="22"/>
        </w:rPr>
      </w:pPr>
      <w:r>
        <w:rPr>
          <w:rFonts w:asciiTheme="minorHAnsi" w:eastAsia="Calibri" w:hAnsiTheme="minorHAnsi"/>
          <w:sz w:val="22"/>
          <w:szCs w:val="22"/>
        </w:rPr>
        <w:t>((2.</w:t>
      </w:r>
      <w:r w:rsidR="005837F2">
        <w:rPr>
          <w:rFonts w:asciiTheme="minorHAnsi" w:eastAsia="Calibri" w:hAnsiTheme="minorHAnsi"/>
          <w:sz w:val="22"/>
          <w:szCs w:val="22"/>
        </w:rPr>
        <w:t>23</w:t>
      </w:r>
      <w:r w:rsidR="006F2CC2">
        <w:rPr>
          <w:rFonts w:asciiTheme="minorHAnsi" w:eastAsia="Calibri" w:hAnsiTheme="minorHAnsi"/>
          <w:sz w:val="22"/>
          <w:szCs w:val="22"/>
        </w:rPr>
        <w:t>8</w:t>
      </w:r>
      <w:r>
        <w:rPr>
          <w:rFonts w:asciiTheme="minorHAnsi" w:eastAsia="Calibri" w:hAnsiTheme="minorHAnsi"/>
          <w:sz w:val="22"/>
          <w:szCs w:val="22"/>
        </w:rPr>
        <w:t xml:space="preserve"> Zeichen, inkl. Headline und Leerzeichen))</w:t>
      </w:r>
    </w:p>
    <w:p w:rsidR="007E246C" w:rsidRDefault="007E246C" w:rsidP="00922C72">
      <w:pPr>
        <w:jc w:val="both"/>
        <w:rPr>
          <w:rFonts w:asciiTheme="minorHAnsi" w:eastAsia="Calibri" w:hAnsiTheme="minorHAnsi"/>
          <w:sz w:val="22"/>
          <w:szCs w:val="22"/>
        </w:rPr>
      </w:pPr>
    </w:p>
    <w:p w:rsidR="007E246C" w:rsidRDefault="007E246C" w:rsidP="00922C72">
      <w:pPr>
        <w:jc w:val="both"/>
        <w:rPr>
          <w:rFonts w:asciiTheme="minorHAnsi" w:eastAsia="Calibri" w:hAnsiTheme="minorHAnsi"/>
          <w:noProof/>
          <w:sz w:val="22"/>
          <w:szCs w:val="22"/>
        </w:rPr>
      </w:pPr>
    </w:p>
    <w:p w:rsidR="00EA6671" w:rsidRDefault="00EA6671" w:rsidP="00922C72">
      <w:pPr>
        <w:jc w:val="both"/>
        <w:rPr>
          <w:rFonts w:asciiTheme="minorHAnsi" w:eastAsia="Calibri" w:hAnsiTheme="minorHAnsi"/>
          <w:noProof/>
          <w:sz w:val="22"/>
          <w:szCs w:val="22"/>
        </w:rPr>
      </w:pPr>
    </w:p>
    <w:p w:rsidR="00EA6671" w:rsidRDefault="00EA6671" w:rsidP="00922C72">
      <w:pPr>
        <w:jc w:val="both"/>
        <w:rPr>
          <w:rFonts w:asciiTheme="minorHAnsi" w:eastAsia="Calibri" w:hAnsiTheme="minorHAnsi"/>
          <w:noProof/>
          <w:sz w:val="22"/>
          <w:szCs w:val="22"/>
        </w:rPr>
      </w:pPr>
    </w:p>
    <w:p w:rsidR="00EA6671" w:rsidRDefault="00EA6671" w:rsidP="00922C72">
      <w:pPr>
        <w:jc w:val="both"/>
        <w:rPr>
          <w:rFonts w:asciiTheme="minorHAnsi" w:eastAsia="Calibri" w:hAnsiTheme="minorHAnsi"/>
          <w:noProof/>
          <w:sz w:val="22"/>
          <w:szCs w:val="22"/>
        </w:rPr>
      </w:pPr>
    </w:p>
    <w:p w:rsidR="00EA6671" w:rsidRDefault="00EA6671" w:rsidP="00922C72">
      <w:pPr>
        <w:jc w:val="both"/>
        <w:rPr>
          <w:rFonts w:asciiTheme="minorHAnsi" w:eastAsia="Calibri" w:hAnsiTheme="minorHAnsi"/>
          <w:noProof/>
          <w:sz w:val="22"/>
          <w:szCs w:val="22"/>
        </w:rPr>
      </w:pPr>
    </w:p>
    <w:p w:rsidR="00EA6671" w:rsidRDefault="00EA6671" w:rsidP="00922C72">
      <w:pPr>
        <w:jc w:val="both"/>
        <w:rPr>
          <w:rFonts w:asciiTheme="minorHAnsi" w:eastAsia="Calibri" w:hAnsiTheme="minorHAnsi"/>
          <w:noProof/>
          <w:sz w:val="22"/>
          <w:szCs w:val="22"/>
        </w:rPr>
      </w:pPr>
    </w:p>
    <w:p w:rsidR="00EA6671" w:rsidRDefault="00EA6671" w:rsidP="00922C72">
      <w:pPr>
        <w:jc w:val="both"/>
        <w:rPr>
          <w:rFonts w:asciiTheme="minorHAnsi" w:eastAsia="Calibri" w:hAnsiTheme="minorHAnsi"/>
          <w:noProof/>
          <w:sz w:val="22"/>
          <w:szCs w:val="22"/>
        </w:rPr>
      </w:pPr>
    </w:p>
    <w:p w:rsidR="00EA6671" w:rsidRDefault="00EA6671" w:rsidP="00922C72">
      <w:pPr>
        <w:jc w:val="both"/>
        <w:rPr>
          <w:rFonts w:asciiTheme="minorHAnsi" w:eastAsia="Calibri" w:hAnsiTheme="minorHAnsi"/>
          <w:noProof/>
          <w:sz w:val="22"/>
          <w:szCs w:val="22"/>
        </w:rPr>
      </w:pPr>
    </w:p>
    <w:p w:rsidR="00EA6671" w:rsidRDefault="00EA6671" w:rsidP="00922C72">
      <w:pPr>
        <w:jc w:val="both"/>
        <w:rPr>
          <w:rFonts w:asciiTheme="minorHAnsi" w:eastAsia="Calibri" w:hAnsiTheme="minorHAnsi"/>
          <w:noProof/>
          <w:sz w:val="22"/>
          <w:szCs w:val="22"/>
        </w:rPr>
      </w:pPr>
    </w:p>
    <w:p w:rsidR="00EA6671" w:rsidRDefault="00EA6671" w:rsidP="00922C72">
      <w:pPr>
        <w:jc w:val="both"/>
        <w:rPr>
          <w:rFonts w:asciiTheme="minorHAnsi" w:eastAsia="Calibri" w:hAnsiTheme="minorHAnsi"/>
          <w:noProof/>
          <w:sz w:val="22"/>
          <w:szCs w:val="22"/>
        </w:rPr>
      </w:pPr>
    </w:p>
    <w:p w:rsidR="00EA6671" w:rsidRDefault="00EA6671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  <w:r w:rsidRPr="00EA6671">
        <w:rPr>
          <w:rFonts w:asciiTheme="minorHAnsi" w:eastAsia="Calibri" w:hAnsiTheme="minorHAnsi"/>
          <w:b/>
          <w:noProof/>
          <w:sz w:val="22"/>
          <w:szCs w:val="22"/>
        </w:rPr>
        <w:t>Pressebilder GARANT</w:t>
      </w: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  <w:r>
        <w:rPr>
          <w:rFonts w:asciiTheme="minorHAnsi" w:eastAsia="Calibri" w:hAnsiTheme="minorHAnsi"/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12524BBE" wp14:editId="7A307430">
            <wp:simplePos x="0" y="0"/>
            <wp:positionH relativeFrom="column">
              <wp:posOffset>-22225</wp:posOffset>
            </wp:positionH>
            <wp:positionV relativeFrom="paragraph">
              <wp:posOffset>74930</wp:posOffset>
            </wp:positionV>
            <wp:extent cx="3800475" cy="2077720"/>
            <wp:effectExtent l="0" t="0" r="9525" b="0"/>
            <wp:wrapThrough wrapText="bothSides">
              <wp:wrapPolygon edited="0">
                <wp:start x="0" y="0"/>
                <wp:lineTo x="0" y="21389"/>
                <wp:lineTo x="21546" y="21389"/>
                <wp:lineTo x="21546" y="0"/>
                <wp:lineTo x="0" y="0"/>
              </wp:wrapPolygon>
            </wp:wrapThrough>
            <wp:docPr id="4" name="Grafik 4" descr="K:\GF\GFS1\DOC6\PR\2018\BAU 2019\LINE-Inlay\G_WFLineGH_Weiss_12017_In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GF\GFS1\DOC6\PR\2018\BAU 2019\LINE-Inlay\G_WFLineGH_Weiss_12017_Inla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Pr="00004BBD" w:rsidRDefault="00004BBD" w:rsidP="00922C72">
      <w:pPr>
        <w:jc w:val="both"/>
        <w:rPr>
          <w:rFonts w:asciiTheme="minorHAnsi" w:eastAsia="Calibri" w:hAnsiTheme="minorHAnsi"/>
          <w:noProof/>
          <w:sz w:val="22"/>
          <w:szCs w:val="22"/>
        </w:rPr>
      </w:pPr>
      <w:r w:rsidRPr="00004BBD">
        <w:rPr>
          <w:rFonts w:asciiTheme="minorHAnsi" w:eastAsia="Calibri" w:hAnsiTheme="minorHAnsi"/>
          <w:noProof/>
          <w:sz w:val="22"/>
          <w:szCs w:val="22"/>
        </w:rPr>
        <w:t xml:space="preserve">Der LINE-Inlay von GARANT: </w:t>
      </w:r>
      <w:r>
        <w:rPr>
          <w:rFonts w:asciiTheme="minorHAnsi" w:eastAsia="Calibri" w:hAnsiTheme="minorHAnsi"/>
          <w:noProof/>
          <w:sz w:val="22"/>
          <w:szCs w:val="22"/>
        </w:rPr>
        <w:t>modern, stylisch und passganau</w:t>
      </w: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5DCF236" wp14:editId="2844C488">
            <wp:simplePos x="0" y="0"/>
            <wp:positionH relativeFrom="column">
              <wp:posOffset>33020</wp:posOffset>
            </wp:positionH>
            <wp:positionV relativeFrom="paragraph">
              <wp:posOffset>88900</wp:posOffset>
            </wp:positionV>
            <wp:extent cx="1933575" cy="2202815"/>
            <wp:effectExtent l="0" t="0" r="9525" b="6985"/>
            <wp:wrapThrough wrapText="bothSides">
              <wp:wrapPolygon edited="0">
                <wp:start x="0" y="0"/>
                <wp:lineTo x="0" y="21482"/>
                <wp:lineTo x="21494" y="21482"/>
                <wp:lineTo x="21494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Pr="00004BBD" w:rsidRDefault="00004BBD" w:rsidP="00922C72">
      <w:pPr>
        <w:jc w:val="both"/>
        <w:rPr>
          <w:rFonts w:asciiTheme="minorHAnsi" w:eastAsia="Calibri" w:hAnsiTheme="minorHAnsi"/>
          <w:noProof/>
          <w:sz w:val="22"/>
          <w:szCs w:val="22"/>
        </w:rPr>
      </w:pPr>
      <w:r>
        <w:rPr>
          <w:rFonts w:asciiTheme="minorHAnsi" w:eastAsia="Calibri" w:hAnsiTheme="minorHAnsi"/>
          <w:noProof/>
          <w:sz w:val="22"/>
          <w:szCs w:val="22"/>
        </w:rPr>
        <w:t xml:space="preserve">Eleganz in bester </w:t>
      </w:r>
      <w:r w:rsidRPr="00004BBD">
        <w:rPr>
          <w:rFonts w:asciiTheme="minorHAnsi" w:eastAsia="Calibri" w:hAnsiTheme="minorHAnsi"/>
          <w:noProof/>
          <w:sz w:val="22"/>
          <w:szCs w:val="22"/>
        </w:rPr>
        <w:t>Qualität</w:t>
      </w:r>
      <w:r>
        <w:rPr>
          <w:rFonts w:asciiTheme="minorHAnsi" w:eastAsia="Calibri" w:hAnsiTheme="minorHAnsi"/>
          <w:noProof/>
          <w:sz w:val="22"/>
          <w:szCs w:val="22"/>
        </w:rPr>
        <w:t xml:space="preserve"> </w:t>
      </w: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Default="00004BBD" w:rsidP="00922C72">
      <w:pPr>
        <w:jc w:val="both"/>
        <w:rPr>
          <w:rFonts w:asciiTheme="minorHAnsi" w:eastAsia="Calibri" w:hAnsiTheme="minorHAnsi"/>
          <w:b/>
          <w:noProof/>
          <w:sz w:val="22"/>
          <w:szCs w:val="22"/>
        </w:rPr>
      </w:pPr>
    </w:p>
    <w:p w:rsidR="00004BBD" w:rsidRPr="00EA6671" w:rsidRDefault="00004BBD" w:rsidP="00922C72">
      <w:pPr>
        <w:jc w:val="both"/>
        <w:rPr>
          <w:rFonts w:asciiTheme="minorHAnsi" w:eastAsia="Calibri" w:hAnsiTheme="minorHAnsi"/>
          <w:b/>
          <w:sz w:val="22"/>
          <w:szCs w:val="22"/>
        </w:rPr>
      </w:pPr>
    </w:p>
    <w:sectPr w:rsidR="00004BBD" w:rsidRPr="00EA6671" w:rsidSect="00385436">
      <w:headerReference w:type="default" r:id="rId10"/>
      <w:pgSz w:w="11906" w:h="16838"/>
      <w:pgMar w:top="2268" w:right="3117" w:bottom="567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1D6" w:rsidRDefault="00FE71D6" w:rsidP="009E32F1">
      <w:r>
        <w:separator/>
      </w:r>
    </w:p>
  </w:endnote>
  <w:endnote w:type="continuationSeparator" w:id="0">
    <w:p w:rsidR="00FE71D6" w:rsidRDefault="00FE71D6" w:rsidP="009E3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Gothic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1D6" w:rsidRDefault="00FE71D6" w:rsidP="009E32F1">
      <w:r>
        <w:separator/>
      </w:r>
    </w:p>
  </w:footnote>
  <w:footnote w:type="continuationSeparator" w:id="0">
    <w:p w:rsidR="00FE71D6" w:rsidRDefault="00FE71D6" w:rsidP="009E3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3E0" w:rsidRDefault="00E81F89" w:rsidP="00385436">
    <w:pPr>
      <w:pStyle w:val="Kopfzeile"/>
      <w:ind w:left="-1418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5F2ECAA4" wp14:editId="2120DA22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73962" cy="10710000"/>
          <wp:effectExtent l="0" t="0" r="825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RANT_Pressepapi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962" cy="1071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3BA6" w:rsidRPr="00385436" w:rsidRDefault="00385436" w:rsidP="00385436">
    <w:pPr>
      <w:pStyle w:val="Kopfzeile"/>
      <w:ind w:left="-1418"/>
    </w:pPr>
    <w:r>
      <w:rPr>
        <w:noProof/>
        <w:lang w:eastAsia="de-DE"/>
      </w:rPr>
      <w:drawing>
        <wp:inline distT="0" distB="0" distL="0" distR="0" wp14:anchorId="045D1B0E" wp14:editId="02E38D41">
          <wp:extent cx="7562094" cy="10696575"/>
          <wp:effectExtent l="0" t="0" r="127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ÜM_Pressepapi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2" cy="10693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2F1"/>
    <w:rsid w:val="00004BBD"/>
    <w:rsid w:val="00015479"/>
    <w:rsid w:val="00023888"/>
    <w:rsid w:val="0004001E"/>
    <w:rsid w:val="0006742A"/>
    <w:rsid w:val="00087189"/>
    <w:rsid w:val="00090B25"/>
    <w:rsid w:val="000918B3"/>
    <w:rsid w:val="000D0F66"/>
    <w:rsid w:val="00104957"/>
    <w:rsid w:val="00105248"/>
    <w:rsid w:val="0011041B"/>
    <w:rsid w:val="0011101B"/>
    <w:rsid w:val="00160F93"/>
    <w:rsid w:val="001C03E0"/>
    <w:rsid w:val="001C7529"/>
    <w:rsid w:val="001C7708"/>
    <w:rsid w:val="001E175B"/>
    <w:rsid w:val="002031CD"/>
    <w:rsid w:val="00213EC4"/>
    <w:rsid w:val="0021629E"/>
    <w:rsid w:val="002248FE"/>
    <w:rsid w:val="00231681"/>
    <w:rsid w:val="00245D4E"/>
    <w:rsid w:val="00266A08"/>
    <w:rsid w:val="0028426A"/>
    <w:rsid w:val="00292F30"/>
    <w:rsid w:val="002A2B2B"/>
    <w:rsid w:val="002B1280"/>
    <w:rsid w:val="002D229E"/>
    <w:rsid w:val="002E5B12"/>
    <w:rsid w:val="002E6A77"/>
    <w:rsid w:val="003044DE"/>
    <w:rsid w:val="00304B05"/>
    <w:rsid w:val="00311E59"/>
    <w:rsid w:val="003649C0"/>
    <w:rsid w:val="00371E17"/>
    <w:rsid w:val="00373921"/>
    <w:rsid w:val="00385436"/>
    <w:rsid w:val="003D3827"/>
    <w:rsid w:val="003E11B9"/>
    <w:rsid w:val="00420710"/>
    <w:rsid w:val="00420770"/>
    <w:rsid w:val="004261EA"/>
    <w:rsid w:val="00446C20"/>
    <w:rsid w:val="004609F8"/>
    <w:rsid w:val="004A7B2C"/>
    <w:rsid w:val="004D33A6"/>
    <w:rsid w:val="004D7BA9"/>
    <w:rsid w:val="004E25B3"/>
    <w:rsid w:val="005719B4"/>
    <w:rsid w:val="0057259C"/>
    <w:rsid w:val="00575F96"/>
    <w:rsid w:val="00577DAA"/>
    <w:rsid w:val="005837F2"/>
    <w:rsid w:val="00584068"/>
    <w:rsid w:val="00590F29"/>
    <w:rsid w:val="005A2000"/>
    <w:rsid w:val="00601B38"/>
    <w:rsid w:val="00602CB9"/>
    <w:rsid w:val="00604DF3"/>
    <w:rsid w:val="0060589A"/>
    <w:rsid w:val="006214F8"/>
    <w:rsid w:val="0062520B"/>
    <w:rsid w:val="00633EBB"/>
    <w:rsid w:val="00634090"/>
    <w:rsid w:val="00635B72"/>
    <w:rsid w:val="00637F4B"/>
    <w:rsid w:val="006A6050"/>
    <w:rsid w:val="006D4B03"/>
    <w:rsid w:val="006E21F3"/>
    <w:rsid w:val="006F2CC2"/>
    <w:rsid w:val="00720347"/>
    <w:rsid w:val="0074177E"/>
    <w:rsid w:val="00760011"/>
    <w:rsid w:val="00767A31"/>
    <w:rsid w:val="00767EC9"/>
    <w:rsid w:val="007724FA"/>
    <w:rsid w:val="00772C15"/>
    <w:rsid w:val="00782D35"/>
    <w:rsid w:val="007A12CD"/>
    <w:rsid w:val="007B4D52"/>
    <w:rsid w:val="007D629B"/>
    <w:rsid w:val="007E246C"/>
    <w:rsid w:val="007E2F3E"/>
    <w:rsid w:val="007F5517"/>
    <w:rsid w:val="00813695"/>
    <w:rsid w:val="008221D4"/>
    <w:rsid w:val="00830699"/>
    <w:rsid w:val="008313F0"/>
    <w:rsid w:val="00875932"/>
    <w:rsid w:val="008848D5"/>
    <w:rsid w:val="008D4092"/>
    <w:rsid w:val="00922C72"/>
    <w:rsid w:val="009240B0"/>
    <w:rsid w:val="00937287"/>
    <w:rsid w:val="0095293D"/>
    <w:rsid w:val="00952B32"/>
    <w:rsid w:val="00997D9D"/>
    <w:rsid w:val="009A3067"/>
    <w:rsid w:val="009B0AD7"/>
    <w:rsid w:val="009C4C11"/>
    <w:rsid w:val="009E32F1"/>
    <w:rsid w:val="00A020B2"/>
    <w:rsid w:val="00A50FC4"/>
    <w:rsid w:val="00A52C7A"/>
    <w:rsid w:val="00A55538"/>
    <w:rsid w:val="00A65A73"/>
    <w:rsid w:val="00A704F4"/>
    <w:rsid w:val="00AB0F02"/>
    <w:rsid w:val="00AB28DD"/>
    <w:rsid w:val="00AC00D0"/>
    <w:rsid w:val="00AC657C"/>
    <w:rsid w:val="00AF644C"/>
    <w:rsid w:val="00B07D56"/>
    <w:rsid w:val="00B101F7"/>
    <w:rsid w:val="00B32F98"/>
    <w:rsid w:val="00B33BA6"/>
    <w:rsid w:val="00B50A34"/>
    <w:rsid w:val="00B656A0"/>
    <w:rsid w:val="00B70E71"/>
    <w:rsid w:val="00B81186"/>
    <w:rsid w:val="00B95002"/>
    <w:rsid w:val="00BC0A17"/>
    <w:rsid w:val="00BD34C7"/>
    <w:rsid w:val="00BF11AF"/>
    <w:rsid w:val="00BF2E52"/>
    <w:rsid w:val="00BF5FF1"/>
    <w:rsid w:val="00C11B54"/>
    <w:rsid w:val="00C11B68"/>
    <w:rsid w:val="00C22965"/>
    <w:rsid w:val="00C43EC8"/>
    <w:rsid w:val="00C513F7"/>
    <w:rsid w:val="00C53076"/>
    <w:rsid w:val="00C57774"/>
    <w:rsid w:val="00C6787D"/>
    <w:rsid w:val="00C87110"/>
    <w:rsid w:val="00C95A4D"/>
    <w:rsid w:val="00CA39DF"/>
    <w:rsid w:val="00CB5D59"/>
    <w:rsid w:val="00CC096D"/>
    <w:rsid w:val="00CE5C45"/>
    <w:rsid w:val="00D10A8E"/>
    <w:rsid w:val="00D14CAC"/>
    <w:rsid w:val="00D610B1"/>
    <w:rsid w:val="00D75778"/>
    <w:rsid w:val="00DB05FC"/>
    <w:rsid w:val="00DB32D2"/>
    <w:rsid w:val="00DE7767"/>
    <w:rsid w:val="00E00CDD"/>
    <w:rsid w:val="00E75B31"/>
    <w:rsid w:val="00E81F89"/>
    <w:rsid w:val="00E9488B"/>
    <w:rsid w:val="00EA446F"/>
    <w:rsid w:val="00EA4D98"/>
    <w:rsid w:val="00EA6671"/>
    <w:rsid w:val="00EA6C8F"/>
    <w:rsid w:val="00EC2D80"/>
    <w:rsid w:val="00EC5A29"/>
    <w:rsid w:val="00EF7B0A"/>
    <w:rsid w:val="00F03E1B"/>
    <w:rsid w:val="00F11677"/>
    <w:rsid w:val="00F14762"/>
    <w:rsid w:val="00F36D0C"/>
    <w:rsid w:val="00F46979"/>
    <w:rsid w:val="00F64BCE"/>
    <w:rsid w:val="00F65F90"/>
    <w:rsid w:val="00F911C0"/>
    <w:rsid w:val="00F94438"/>
    <w:rsid w:val="00FA4E02"/>
    <w:rsid w:val="00FB0DA4"/>
    <w:rsid w:val="00FB556A"/>
    <w:rsid w:val="00FC7AE9"/>
    <w:rsid w:val="00FD6AE3"/>
    <w:rsid w:val="00FD6EE5"/>
    <w:rsid w:val="00FE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F1A7D-0EAE-4771-821A-EA326C206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NSC</dc:creator>
  <cp:lastModifiedBy>Föllmer, Martina</cp:lastModifiedBy>
  <cp:revision>30</cp:revision>
  <cp:lastPrinted>2016-04-19T06:34:00Z</cp:lastPrinted>
  <dcterms:created xsi:type="dcterms:W3CDTF">2018-11-21T08:25:00Z</dcterms:created>
  <dcterms:modified xsi:type="dcterms:W3CDTF">2018-12-13T14:03:00Z</dcterms:modified>
</cp:coreProperties>
</file>